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Heading1"/>
        <w:spacing w:before="79"/>
        <w:ind w:left="8400" w:hanging="994"/>
        <w:jc w:val="right"/>
      </w:pPr>
      <w:r>
        <w:rPr/>
        <w:t>ADOPTED – OCTOBER 13, 2026 AGENDA ITEM NO. 42</w:t>
      </w:r>
    </w:p>
    <w:p>
      <w:pPr>
        <w:pStyle w:val="BodyText"/>
        <w:spacing w:before="2"/>
        <w:rPr>
          <w:b/>
          <w:sz w:val="16"/>
        </w:rPr>
      </w:pPr>
    </w:p>
    <w:p>
      <w:pPr>
        <w:pStyle w:val="BodyText"/>
        <w:spacing w:before="90"/>
        <w:ind w:left="120"/>
      </w:pPr>
      <w:r>
        <w:rPr/>
        <w:t>Introduced by the Law &amp; Courts and Finance Committees of the:</w:t>
      </w:r>
    </w:p>
    <w:p>
      <w:pPr>
        <w:pStyle w:val="BodyText"/>
      </w:pPr>
    </w:p>
    <w:p>
      <w:pPr>
        <w:pStyle w:val="BodyText"/>
        <w:ind w:left="2834" w:right="2835"/>
        <w:jc w:val="center"/>
      </w:pPr>
      <w:r>
        <w:rPr/>
        <w:t>INGHAM COUNTY BOARD OF</w:t>
      </w:r>
      <w:r>
        <w:rPr>
          <w:spacing w:val="-18"/>
        </w:rPr>
        <w:t> </w:t>
      </w:r>
      <w:r>
        <w:rPr/>
        <w:t>COMMISSIONERS</w:t>
      </w:r>
    </w:p>
    <w:p>
      <w:pPr>
        <w:pStyle w:val="BodyText"/>
        <w:spacing w:before="6"/>
        <w:rPr>
          <w:sz w:val="23"/>
        </w:rPr>
      </w:pPr>
    </w:p>
    <w:p>
      <w:pPr>
        <w:pStyle w:val="Heading1"/>
        <w:ind w:right="358"/>
      </w:pPr>
      <w:r>
        <w:rPr/>
        <w:t>RESOLUTION TO APPROVE THE PURCHASE OF ACOUSTIC PANELS FOR THE 30</w:t>
      </w:r>
      <w:r>
        <w:rPr>
          <w:position w:val="8"/>
          <w:sz w:val="16"/>
        </w:rPr>
        <w:t>TH </w:t>
      </w:r>
      <w:r>
        <w:rPr/>
        <w:t>CIRCUIT COURT THIRD-FLOOR JURY</w:t>
      </w:r>
      <w:r>
        <w:rPr>
          <w:spacing w:val="-4"/>
        </w:rPr>
        <w:t> </w:t>
      </w:r>
      <w:r>
        <w:rPr/>
        <w:t>ROOMS</w:t>
      </w:r>
    </w:p>
    <w:p>
      <w:pPr>
        <w:pStyle w:val="BodyText"/>
        <w:rPr>
          <w:b/>
        </w:rPr>
      </w:pPr>
    </w:p>
    <w:p>
      <w:pPr>
        <w:spacing w:before="0"/>
        <w:ind w:left="2834" w:right="2834" w:firstLine="0"/>
        <w:jc w:val="center"/>
        <w:rPr>
          <w:b/>
          <w:sz w:val="24"/>
        </w:rPr>
      </w:pPr>
      <w:r>
        <w:rPr>
          <w:b/>
          <w:sz w:val="24"/>
        </w:rPr>
        <w:t>RESOLUTION #26 – 506</w:t>
      </w: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ind w:left="120" w:right="389"/>
      </w:pPr>
      <w:r>
        <w:rPr/>
        <w:t>WHEREAS, the County maintains a commitment to ensuring adherence to the fundamental principles of jury privacy and the integrity of the deliberation process within the Veterans Memorial Courthouse; and</w:t>
      </w:r>
    </w:p>
    <w:p>
      <w:pPr>
        <w:pStyle w:val="BodyText"/>
      </w:pPr>
    </w:p>
    <w:p>
      <w:pPr>
        <w:pStyle w:val="BodyText"/>
        <w:ind w:left="119" w:right="323"/>
      </w:pPr>
      <w:r>
        <w:rPr/>
        <w:t>WHEREAS, proactively upgrading the acoustical insulation and structural sound mitigation of the third-floor jury rooms will eliminate potential ambient noise transfer, thereby ensuring that all discussions remain strictly confidential and protected from external inadvertent audibility; and</w:t>
      </w:r>
    </w:p>
    <w:p>
      <w:pPr>
        <w:pStyle w:val="BodyText"/>
      </w:pPr>
    </w:p>
    <w:p>
      <w:pPr>
        <w:pStyle w:val="BodyText"/>
        <w:ind w:left="119" w:right="410"/>
      </w:pPr>
      <w:r>
        <w:rPr/>
        <w:t>WHEREAS, these facility enhancements align with current best practices for judicial environments, ensuring our infrastructure supports the highest standards of confidentiality required for court proceedings; and</w:t>
      </w:r>
    </w:p>
    <w:p>
      <w:pPr>
        <w:pStyle w:val="BodyText"/>
      </w:pPr>
    </w:p>
    <w:p>
      <w:pPr>
        <w:pStyle w:val="BodyText"/>
        <w:spacing w:before="1"/>
        <w:ind w:left="119" w:right="371"/>
      </w:pPr>
      <w:r>
        <w:rPr/>
        <w:t>WHEREAS, such improvements demonstrate the County and Court’s dedication to upholding public confidence in the security of our judicial proceedings, reinforcing the Courthouse as a secure environment for justice; and</w:t>
      </w:r>
    </w:p>
    <w:p>
      <w:pPr>
        <w:pStyle w:val="BodyText"/>
        <w:spacing w:before="11"/>
        <w:rPr>
          <w:sz w:val="23"/>
        </w:rPr>
      </w:pPr>
    </w:p>
    <w:p>
      <w:pPr>
        <w:pStyle w:val="BodyText"/>
        <w:ind w:left="119" w:right="156"/>
      </w:pPr>
      <w:r>
        <w:rPr/>
        <w:t>WHEREAS, DBI, located at 912 E. Michigan Ave., Lansing, MI 48912, has provided a quote of $18,488.28 for the work; and</w:t>
      </w:r>
    </w:p>
    <w:p>
      <w:pPr>
        <w:pStyle w:val="BodyText"/>
      </w:pPr>
    </w:p>
    <w:p>
      <w:pPr>
        <w:pStyle w:val="BodyText"/>
        <w:ind w:left="119"/>
      </w:pPr>
      <w:r>
        <w:rPr/>
        <w:t>WHEREAS, this project will utilize GSA Contract 47QSMA21D08P2 Merge Office Interiors, Inc. dba Merge Works.</w:t>
      </w:r>
    </w:p>
    <w:p>
      <w:pPr>
        <w:pStyle w:val="BodyText"/>
      </w:pPr>
    </w:p>
    <w:p>
      <w:pPr>
        <w:pStyle w:val="BodyText"/>
        <w:ind w:left="119" w:right="118"/>
        <w:jc w:val="both"/>
      </w:pPr>
      <w:r>
        <w:rPr/>
        <w:t>THEREFORE BE IT RESOLVED, that the Ingham Board of Commissioners approves a contract with DBI and Merge Works for the purchase of sound mitigation panels in an amount not to exceed $18,488.28, with funding provided by a $18,489 transfer from the 2026 County Contingency Fund to the 30th Circuit Court budget.</w:t>
      </w:r>
    </w:p>
    <w:p>
      <w:pPr>
        <w:pStyle w:val="BodyText"/>
      </w:pPr>
    </w:p>
    <w:p>
      <w:pPr>
        <w:pStyle w:val="BodyText"/>
        <w:ind w:left="119" w:right="118"/>
        <w:jc w:val="both"/>
      </w:pPr>
      <w:r>
        <w:rPr/>
        <w:t>BE IT FURTHER RESOLVED, that the Controller/Administrator is authorized to make the necessary budget transfer and adjustments consistent with this resolution.</w:t>
      </w:r>
    </w:p>
    <w:p>
      <w:pPr>
        <w:pStyle w:val="BodyText"/>
      </w:pPr>
    </w:p>
    <w:p>
      <w:pPr>
        <w:pStyle w:val="BodyText"/>
        <w:ind w:left="119" w:right="118"/>
        <w:jc w:val="both"/>
      </w:pPr>
      <w:r>
        <w:rPr/>
        <w:t>BE</w:t>
      </w:r>
      <w:r>
        <w:rPr>
          <w:spacing w:val="-7"/>
        </w:rPr>
        <w:t> </w:t>
      </w:r>
      <w:r>
        <w:rPr/>
        <w:t>IT</w:t>
      </w:r>
      <w:r>
        <w:rPr>
          <w:spacing w:val="-6"/>
        </w:rPr>
        <w:t> </w:t>
      </w:r>
      <w:r>
        <w:rPr/>
        <w:t>FURTHER</w:t>
      </w:r>
      <w:r>
        <w:rPr>
          <w:spacing w:val="-8"/>
        </w:rPr>
        <w:t> </w:t>
      </w:r>
      <w:r>
        <w:rPr/>
        <w:t>RESOLVED,</w:t>
      </w:r>
      <w:r>
        <w:rPr>
          <w:spacing w:val="-10"/>
        </w:rPr>
        <w:t> </w:t>
      </w:r>
      <w:r>
        <w:rPr/>
        <w:t>that</w:t>
      </w:r>
      <w:r>
        <w:rPr>
          <w:spacing w:val="-8"/>
        </w:rPr>
        <w:t> </w:t>
      </w:r>
      <w:r>
        <w:rPr/>
        <w:t>the</w:t>
      </w:r>
      <w:r>
        <w:rPr>
          <w:spacing w:val="-10"/>
        </w:rPr>
        <w:t> </w:t>
      </w:r>
      <w:r>
        <w:rPr/>
        <w:t>Chairperson</w:t>
      </w:r>
      <w:r>
        <w:rPr>
          <w:spacing w:val="-9"/>
        </w:rPr>
        <w:t> </w:t>
      </w:r>
      <w:r>
        <w:rPr/>
        <w:t>of</w:t>
      </w:r>
      <w:r>
        <w:rPr>
          <w:spacing w:val="-10"/>
        </w:rPr>
        <w:t> </w:t>
      </w:r>
      <w:r>
        <w:rPr/>
        <w:t>the</w:t>
      </w:r>
      <w:r>
        <w:rPr>
          <w:spacing w:val="-10"/>
        </w:rPr>
        <w:t> </w:t>
      </w:r>
      <w:r>
        <w:rPr/>
        <w:t>Board</w:t>
      </w:r>
      <w:r>
        <w:rPr>
          <w:spacing w:val="-9"/>
        </w:rPr>
        <w:t> </w:t>
      </w:r>
      <w:r>
        <w:rPr/>
        <w:t>of</w:t>
      </w:r>
      <w:r>
        <w:rPr>
          <w:spacing w:val="-9"/>
        </w:rPr>
        <w:t> </w:t>
      </w:r>
      <w:r>
        <w:rPr/>
        <w:t>Commissioners</w:t>
      </w:r>
      <w:r>
        <w:rPr>
          <w:spacing w:val="-9"/>
        </w:rPr>
        <w:t> </w:t>
      </w:r>
      <w:r>
        <w:rPr/>
        <w:t>is</w:t>
      </w:r>
      <w:r>
        <w:rPr>
          <w:spacing w:val="-8"/>
        </w:rPr>
        <w:t> </w:t>
      </w:r>
      <w:r>
        <w:rPr/>
        <w:t>hereby</w:t>
      </w:r>
      <w:r>
        <w:rPr>
          <w:spacing w:val="-13"/>
        </w:rPr>
        <w:t> </w:t>
      </w:r>
      <w:r>
        <w:rPr/>
        <w:t>authorized</w:t>
      </w:r>
      <w:r>
        <w:rPr>
          <w:spacing w:val="-9"/>
        </w:rPr>
        <w:t> </w:t>
      </w:r>
      <w:r>
        <w:rPr/>
        <w:t>to</w:t>
      </w:r>
      <w:r>
        <w:rPr>
          <w:spacing w:val="-10"/>
        </w:rPr>
        <w:t> </w:t>
      </w:r>
      <w:r>
        <w:rPr/>
        <w:t>sign any necessary documents on behalf of the County after approval as to form by the County</w:t>
      </w:r>
      <w:r>
        <w:rPr>
          <w:spacing w:val="-23"/>
        </w:rPr>
        <w:t> </w:t>
      </w:r>
      <w:r>
        <w:rPr/>
        <w:t>Attorney.</w:t>
      </w:r>
    </w:p>
    <w:p>
      <w:pPr>
        <w:pStyle w:val="BodyText"/>
      </w:pPr>
    </w:p>
    <w:p>
      <w:pPr>
        <w:spacing w:before="1"/>
        <w:ind w:left="119" w:right="0" w:firstLine="0"/>
        <w:jc w:val="both"/>
        <w:rPr>
          <w:sz w:val="24"/>
        </w:rPr>
      </w:pPr>
      <w:r>
        <w:rPr>
          <w:b/>
          <w:sz w:val="24"/>
        </w:rPr>
        <w:t>LAW &amp; COURTS: Yeas</w:t>
      </w:r>
      <w:r>
        <w:rPr>
          <w:sz w:val="24"/>
        </w:rPr>
        <w:t>: Willis, Trubac, Peña, Lawrence, Schafer</w:t>
      </w:r>
    </w:p>
    <w:p>
      <w:pPr>
        <w:tabs>
          <w:tab w:pos="2231" w:val="left" w:leader="none"/>
        </w:tabs>
        <w:spacing w:before="0"/>
        <w:ind w:left="720" w:right="0" w:firstLine="0"/>
        <w:jc w:val="left"/>
        <w:rPr>
          <w:b/>
          <w:sz w:val="24"/>
        </w:rPr>
      </w:pPr>
      <w:r>
        <w:rPr>
          <w:b/>
          <w:sz w:val="24"/>
        </w:rPr>
        <w:t>Nays</w:t>
      </w:r>
      <w:r>
        <w:rPr>
          <w:sz w:val="24"/>
        </w:rPr>
        <w:t>:</w:t>
      </w:r>
      <w:r>
        <w:rPr>
          <w:spacing w:val="59"/>
          <w:sz w:val="24"/>
        </w:rPr>
        <w:t> </w:t>
      </w:r>
      <w:r>
        <w:rPr>
          <w:sz w:val="24"/>
        </w:rPr>
        <w:t>None</w:t>
        <w:tab/>
      </w:r>
      <w:r>
        <w:rPr>
          <w:b/>
          <w:sz w:val="24"/>
        </w:rPr>
        <w:t>Absent: </w:t>
      </w:r>
      <w:r>
        <w:rPr>
          <w:sz w:val="24"/>
        </w:rPr>
        <w:t>Polsdofer, Cahill, Johnson </w:t>
      </w:r>
      <w:r>
        <w:rPr>
          <w:b/>
          <w:sz w:val="24"/>
        </w:rPr>
        <w:t>Approved</w:t>
      </w:r>
      <w:r>
        <w:rPr>
          <w:b/>
          <w:spacing w:val="57"/>
          <w:sz w:val="24"/>
        </w:rPr>
        <w:t> </w:t>
      </w:r>
      <w:r>
        <w:rPr>
          <w:b/>
          <w:sz w:val="24"/>
        </w:rPr>
        <w:t>10/01/26</w:t>
      </w:r>
    </w:p>
    <w:p>
      <w:pPr>
        <w:pStyle w:val="BodyText"/>
        <w:spacing w:before="6"/>
        <w:rPr>
          <w:b/>
          <w:sz w:val="27"/>
        </w:rPr>
      </w:pPr>
    </w:p>
    <w:p>
      <w:pPr>
        <w:spacing w:before="0"/>
        <w:ind w:left="119" w:right="0" w:firstLine="0"/>
        <w:jc w:val="both"/>
        <w:rPr>
          <w:sz w:val="24"/>
        </w:rPr>
      </w:pPr>
      <w:r>
        <w:rPr>
          <w:b/>
          <w:sz w:val="24"/>
        </w:rPr>
        <w:t>FINANCE: Yeas: </w:t>
      </w:r>
      <w:r>
        <w:rPr>
          <w:sz w:val="24"/>
        </w:rPr>
        <w:t>Grebner, Morgan, Sebolt, Polsdofer, Pratt, Maiville</w:t>
      </w:r>
    </w:p>
    <w:p>
      <w:pPr>
        <w:tabs>
          <w:tab w:pos="2183" w:val="left" w:leader="none"/>
        </w:tabs>
        <w:spacing w:before="41"/>
        <w:ind w:left="720" w:right="0" w:firstLine="0"/>
        <w:jc w:val="left"/>
        <w:rPr>
          <w:b/>
          <w:sz w:val="24"/>
        </w:rPr>
      </w:pPr>
      <w:r>
        <w:rPr>
          <w:b/>
          <w:sz w:val="24"/>
        </w:rPr>
        <w:t>Nays:</w:t>
      </w:r>
      <w:r>
        <w:rPr>
          <w:b/>
          <w:spacing w:val="58"/>
          <w:sz w:val="24"/>
        </w:rPr>
        <w:t> </w:t>
      </w:r>
      <w:r>
        <w:rPr>
          <w:sz w:val="24"/>
        </w:rPr>
        <w:t>None</w:t>
        <w:tab/>
      </w:r>
      <w:r>
        <w:rPr>
          <w:b/>
          <w:sz w:val="24"/>
        </w:rPr>
        <w:t>Absent: </w:t>
      </w:r>
      <w:r>
        <w:rPr>
          <w:sz w:val="24"/>
        </w:rPr>
        <w:t>Tennis </w:t>
      </w:r>
      <w:r>
        <w:rPr>
          <w:b/>
          <w:sz w:val="24"/>
        </w:rPr>
        <w:t>Approved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10/07/26</w:t>
      </w:r>
    </w:p>
    <w:sectPr>
      <w:type w:val="continuous"/>
      <w:pgSz w:w="12240" w:h="15840"/>
      <w:pgMar w:top="1360" w:bottom="280" w:left="600" w:right="6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</w:rPr>
  </w:style>
  <w:style w:styleId="Heading1" w:type="paragraph">
    <w:name w:val="Heading 1"/>
    <w:basedOn w:val="Normal"/>
    <w:uiPriority w:val="1"/>
    <w:qFormat/>
    <w:pPr>
      <w:ind w:left="2812" w:right="115" w:hanging="1716"/>
      <w:outlineLvl w:val="1"/>
    </w:pPr>
    <w:rPr>
      <w:rFonts w:ascii="Times New Roman" w:hAnsi="Times New Roman" w:eastAsia="Times New Roman" w:cs="Times New Roman"/>
      <w:b/>
      <w:bCs/>
      <w:sz w:val="24"/>
      <w:szCs w:val="24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Heather Barry</dc:creator>
  <dcterms:created xsi:type="dcterms:W3CDTF">2026-10-14T17:21:50Z</dcterms:created>
  <dcterms:modified xsi:type="dcterms:W3CDTF">2026-10-14T17:21:50Z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2026-10-14T00:00:00Z</vt:filetime>
  </property>
  <property fmtid="{D5CDD505-2E9C-101B-9397-08002B2CF9AE}" pid="3" name="Creator">
    <vt:lpwstr>Acrobat PDFMaker 20 for Word</vt:lpwstr>
  </property>
  <property fmtid="{D5CDD505-2E9C-101B-9397-08002B2CF9AE}" pid="4" name="LastSaved">
    <vt:filetime>2026-10-14T00:00:00Z</vt:filetime>
  </property>
</Properties>
</file>